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991792-20260806.htm"/>
      <w:bookmarkStart w:id="1" w:name="ksck0001991792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CG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001-41925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37-1611499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3000 Pegasus Park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1640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75247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409-3700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CGON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ge2_1"/>
      <w:bookmarkEnd w:id="2"/>
      <w:r>
        <w:rPr>
          <w:rFonts w:ascii="Times New Roman" w:hAnsi="Times New Roman"/>
          <w:b/>
          <w:color w:val="000000"/>
          <w:sz w:val="18"/>
        </w:rPr>
        <w:t>Item 2.02</w:t>
      </w:r>
      <w:r>
        <w:rPr>
          <w:rFonts w:ascii="Times New Roman" w:hAnsi="Times New Roman"/>
          <w:color w:val="000000"/>
          <w:sz w:val="20"/>
        </w:rPr>
        <w:t xml:space="preserve"> </w:t>
      </w:r>
      <w:r>
        <w:rPr>
          <w:rFonts w:ascii="Times New Roman" w:hAnsi="Times New Roman"/>
          <w:b/>
          <w:color w:val="000000"/>
          <w:sz w:val="18"/>
        </w:rPr>
        <w:t>Results of Operations and Financial Condition.</w:t>
      </w:r>
    </w:p>
    <w:p>
      <w:pPr>
        <w:pStyle w:val="TextBody"/>
        <w:bidi w:val="0"/>
        <w:jc w:val="left"/>
        <w:rPr/>
      </w:pPr>
      <w:r>
        <w:rPr/>
        <w:t> </w:t>
      </w:r>
    </w:p>
    <w:p>
      <w:pPr>
        <w:pStyle w:val="TextBody"/>
        <w:bidi w:val="0"/>
        <w:spacing w:before="120" w:after="283"/>
        <w:ind w:left="0" w:right="0" w:firstLine="446"/>
        <w:jc w:val="both"/>
        <w:rPr>
          <w:rFonts w:ascii="Times New Roman" w:hAnsi="Times New Roman"/>
          <w:color w:val="000000"/>
          <w:sz w:val="18"/>
        </w:rPr>
      </w:pPr>
      <w:r>
        <w:rPr>
          <w:rFonts w:ascii="Times New Roman" w:hAnsi="Times New Roman"/>
          <w:color w:val="000000"/>
          <w:sz w:val="18"/>
        </w:rPr>
        <w:t>On August 6, 2026, CG Oncology, Inc. issued a press release announcing its financial results for the quarter ended June 30, 2026. A copy of the press release is attached hereto as Exhibit 99.1 and is incorporated herein by reference.</w:t>
      </w:r>
    </w:p>
    <w:p>
      <w:pPr>
        <w:pStyle w:val="TextBody"/>
        <w:bidi w:val="0"/>
        <w:spacing w:before="240" w:after="283"/>
        <w:ind w:left="0" w:right="0" w:firstLine="446"/>
        <w:jc w:val="both"/>
        <w:rPr>
          <w:rFonts w:ascii="Times New Roman" w:hAnsi="Times New Roman"/>
          <w:color w:val="000000"/>
          <w:sz w:val="18"/>
        </w:rPr>
      </w:pPr>
      <w:r>
        <w:rPr>
          <w:rFonts w:ascii="Times New Roman" w:hAnsi="Times New Roman"/>
          <w:color w:val="000000"/>
          <w:sz w:val="18"/>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ind w:left="0" w:right="0" w:firstLine="446"/>
        <w:jc w:val="both"/>
        <w:rPr>
          <w:rFonts w:ascii="Times New Roman" w:hAnsi="Times New Roman"/>
          <w:sz w:val="20"/>
        </w:rPr>
      </w:pPr>
      <w:r>
        <w:rPr>
          <w:rFonts w:ascii="Times New Roman" w:hAnsi="Times New Roman"/>
          <w:color w:val="000000"/>
          <w:sz w:val="18"/>
        </w:rPr>
        <w:t>On August 6, 2026, the Company filed Amendment No. 2 to Prospectus (the “Amendment No. 2”) with the Securities and Exchange Commission (the “SEC”) for the offer and sale of shares of its common stock, par value $0.0001 per share (the “Shares”), pursuant to that certain Open Market Sale Agreement, dated March 28, 2025, by and between the Company and Jefferies LLC (the “Sale Agreement”), to increase the Shares available to be sold pursuant to the terms of the Sale Agreement by an additional $500.0 million (the “Additional Shares”). The Amendment amends and supplements the information in the prospectus dated March 28, 2025 (the “Prospectus”) filed with the SEC as part of the Company’s Registration Statement on Form S-3ASR (File No. 333-286230) and Amendment No. 1 to Prospectus dated January 13, 2026 (the “Amendment No. 1”), pursuant to which the Company previously registered and sold approximately $550.0 million of shares of the Company’s common stock pursuant to the Sale Agreement.</w:t>
      </w:r>
      <w:r>
        <w:rPr>
          <w:rFonts w:ascii="Times New Roman" w:hAnsi="Times New Roman"/>
          <w:color w:val="000000"/>
          <w:sz w:val="20"/>
        </w:rPr>
        <w:t xml:space="preserve"> </w:t>
      </w:r>
    </w:p>
    <w:p>
      <w:pPr>
        <w:pStyle w:val="TextBody"/>
        <w:bidi w:val="0"/>
        <w:spacing w:before="120" w:after="283"/>
        <w:ind w:left="0" w:right="0" w:firstLine="446"/>
        <w:jc w:val="both"/>
        <w:rPr>
          <w:rFonts w:ascii="Times New Roman" w:hAnsi="Times New Roman"/>
          <w:color w:val="000000"/>
          <w:sz w:val="18"/>
        </w:rPr>
      </w:pPr>
      <w:r>
        <w:rPr>
          <w:rFonts w:ascii="Times New Roman" w:hAnsi="Times New Roman"/>
          <w:color w:val="000000"/>
          <w:sz w:val="18"/>
        </w:rPr>
        <w:t>The Amendment should be read in conjunction with the Prospectus and Amendment No. 1, and is qualified by reference thereto, except to the extent that the information therein amends or supersedes the information contained in the Prospectus and Amendment No. 1. The Amendment is not complete without, and may only be delivered or utilized in connection with, the Prospectus, Amendment No. 1 to Prospectus and any future amendments or supplements thereto.</w:t>
      </w:r>
    </w:p>
    <w:p>
      <w:pPr>
        <w:pStyle w:val="TextBody"/>
        <w:bidi w:val="0"/>
        <w:spacing w:before="120" w:after="283"/>
        <w:ind w:left="0" w:right="0" w:firstLine="446"/>
        <w:jc w:val="both"/>
        <w:rPr>
          <w:rFonts w:ascii="Times New Roman" w:hAnsi="Times New Roman"/>
          <w:sz w:val="20"/>
        </w:rPr>
      </w:pPr>
      <w:r>
        <w:rPr>
          <w:rFonts w:ascii="Times New Roman" w:hAnsi="Times New Roman"/>
          <w:color w:val="000000"/>
          <w:sz w:val="18"/>
        </w:rPr>
        <w:t>A copy of the opinion of Cooley LLP relating to the validity of the Additional Shares is attached as Exhibit 5.1 hereto.</w:t>
      </w:r>
      <w:r>
        <w:rPr>
          <w:rFonts w:ascii="Times New Roman" w:hAnsi="Times New Roman"/>
          <w:color w:val="000000"/>
          <w:sz w:val="20"/>
        </w:rPr>
        <w:t xml:space="preserve"> </w:t>
      </w:r>
    </w:p>
    <w:p>
      <w:pPr>
        <w:pStyle w:val="TextBody"/>
        <w:bidi w:val="0"/>
        <w:spacing w:before="120" w:after="283"/>
        <w:ind w:left="0" w:right="0" w:firstLine="446"/>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18"/>
        </w:rPr>
        <w:t>Item 9.01 Financial Statements and Exhibits.</w:t>
      </w:r>
      <w:r>
        <w:rPr>
          <w:rFonts w:ascii="Times New Roman" w:hAnsi="Times New Roman"/>
          <w:color w:val="000000"/>
          <w:sz w:val="20"/>
        </w:rPr>
        <w:t xml:space="preserve"> </w:t>
      </w:r>
    </w:p>
    <w:tbl>
      <w:tblPr>
        <w:tblW w:w="1112" w:type="dxa"/>
        <w:jc w:val="left"/>
        <w:tblInd w:w="0" w:type="dxa"/>
        <w:tblLayout w:type="fixed"/>
        <w:tblCellMar>
          <w:top w:w="28" w:type="dxa"/>
          <w:left w:w="28" w:type="dxa"/>
          <w:bottom w:w="28" w:type="dxa"/>
          <w:right w:w="28" w:type="dxa"/>
        </w:tblCellMar>
      </w:tblPr>
      <w:tblGrid>
        <w:gridCol w:w="331"/>
        <w:gridCol w:w="781"/>
      </w:tblGrid>
      <w:tr>
        <w:trPr/>
        <w:tc>
          <w:tcPr>
            <w:tcW w:w="33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Exhibits </w:t>
            </w:r>
          </w:p>
        </w:tc>
      </w:tr>
    </w:tbl>
    <w:tbl>
      <w:tblPr>
        <w:tblW w:w="6928" w:type="dxa"/>
        <w:jc w:val="left"/>
        <w:tblInd w:w="0" w:type="dxa"/>
        <w:tblLayout w:type="fixed"/>
        <w:tblCellMar>
          <w:top w:w="28" w:type="dxa"/>
          <w:left w:w="28" w:type="dxa"/>
          <w:bottom w:w="28" w:type="dxa"/>
          <w:right w:w="28" w:type="dxa"/>
        </w:tblCellMar>
      </w:tblPr>
      <w:tblGrid>
        <w:gridCol w:w="946"/>
        <w:gridCol w:w="146"/>
        <w:gridCol w:w="583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8"/>
              </w:rPr>
            </w:pPr>
            <w:r>
              <w:rPr>
                <w:rFonts w:ascii="Times New Roman" w:hAnsi="Times New Roman"/>
                <w:color w:val="000000"/>
                <w:sz w:val="18"/>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8"/>
              </w:rPr>
            </w:pPr>
            <w:r>
              <w:rPr>
                <w:rFonts w:ascii="Times New Roman" w:hAnsi="Times New Roman"/>
                <w:color w:val="000000"/>
                <w:sz w:val="18"/>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hyperlink w:anchor="ck0001991792-ex5_1.htm">
              <w:r>
                <w:rPr>
                  <w:rStyle w:val="InternetLink"/>
                  <w:rFonts w:ascii="Times New Roman" w:hAnsi="Times New Roman"/>
                  <w:color w:val="0000FF"/>
                  <w:sz w:val="18"/>
                  <w:u w:val="single"/>
                </w:rPr>
                <w:t>Opinion of Cooley LLP</w:t>
              </w:r>
            </w:hyperlink>
          </w:p>
        </w:tc>
      </w:tr>
      <w:tr>
        <w:trPr/>
        <w:tc>
          <w:tcPr>
            <w:tcW w:w="9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hyperlink w:anchor="ck0001991792-ex5_1.htm">
              <w:r>
                <w:rPr>
                  <w:rStyle w:val="InternetLink"/>
                  <w:rFonts w:ascii="Times New Roman" w:hAnsi="Times New Roman"/>
                  <w:color w:val="0000FF"/>
                  <w:sz w:val="18"/>
                  <w:u w:val="single"/>
                </w:rPr>
                <w:t>Consent of Cooley LLP (included in Exhibit 5.1)</w:t>
              </w:r>
            </w:hyperlink>
          </w:p>
        </w:tc>
      </w:tr>
      <w:tr>
        <w:trPr/>
        <w:tc>
          <w:tcPr>
            <w:tcW w:w="9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pPr>
            <w:hyperlink w:anchor="ck0001991792-ex99_1.htm">
              <w:r>
                <w:rPr>
                  <w:rStyle w:val="InternetLink"/>
                  <w:rFonts w:ascii="Times New Roman" w:hAnsi="Times New Roman"/>
                  <w:color w:val="0000FF"/>
                  <w:sz w:val="18"/>
                  <w:u w:val="single"/>
                </w:rPr>
                <w:t>Press release, dated August 6,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3" w:name="page3_1"/>
      <w:bookmarkEnd w:id="3"/>
      <w:r>
        <w:rPr>
          <w:rFonts w:ascii="Times New Roman" w:hAnsi="Times New Roman"/>
          <w:b/>
          <w:color w:val="000000"/>
          <w:sz w:val="18"/>
        </w:rPr>
        <w:t>SIGNATURES</w:t>
      </w:r>
    </w:p>
    <w:p>
      <w:pPr>
        <w:pStyle w:val="TextBody"/>
        <w:bidi w:val="0"/>
        <w:jc w:val="left"/>
        <w:rPr/>
      </w:pPr>
      <w:r>
        <w:rPr/>
        <w:t> </w:t>
      </w:r>
    </w:p>
    <w:p>
      <w:pPr>
        <w:pStyle w:val="TextBody"/>
        <w:bidi w:val="0"/>
        <w:ind w:left="0" w:right="0" w:firstLine="440"/>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1651"/>
        <w:gridCol w:w="3916"/>
      </w:tblGrid>
      <w:tr>
        <w:trPr/>
        <w:tc>
          <w:tcPr>
            <w:tcW w:w="165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CG Oncology, Inc.</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By: </w:t>
            </w:r>
            <w:r>
              <w:rPr>
                <w:rFonts w:ascii="Times New Roman" w:hAnsi="Times New Roman"/>
                <w:color w:val="000000"/>
                <w:sz w:val="18"/>
                <w:u w:val="single"/>
              </w:rPr>
              <w:t>/s/ Josh Patterson</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 Josh Patterson</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 General Counsel and Chief Compliance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720"/>
        <w:jc w:val="left"/>
        <w:rPr/>
      </w:pPr>
      <w:bookmarkStart w:id="4" w:name="ck0001991792-ex5_1.htm"/>
      <w:bookmarkStart w:id="5" w:name="ksck0001991792ex5_1"/>
      <w:bookmarkEnd w:id="4"/>
      <w:bookmarkEnd w:id="5"/>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r>
        <w:br w:type="page"/>
      </w:r>
    </w:p>
    <w:tbl>
      <w:tblPr>
        <w:tblW w:w="3371" w:type="dxa"/>
        <w:jc w:val="left"/>
        <w:tblInd w:w="0" w:type="dxa"/>
        <w:tblLayout w:type="fixed"/>
        <w:tblCellMar>
          <w:top w:w="28" w:type="dxa"/>
          <w:left w:w="28" w:type="dxa"/>
          <w:bottom w:w="28" w:type="dxa"/>
          <w:right w:w="28" w:type="dxa"/>
        </w:tblCellMar>
      </w:tblPr>
      <w:tblGrid>
        <w:gridCol w:w="2014"/>
        <w:gridCol w:w="1357"/>
      </w:tblGrid>
      <w:tr>
        <w:trPr/>
        <w:tc>
          <w:tcPr>
            <w:tcW w:w="201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014"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Arial" w:hAnsi="Arial"/>
                <w:color w:val="000000"/>
                <w:sz w:val="20"/>
              </w:rPr>
              <w:t>Divakar Gupta</w:t>
            </w:r>
          </w:p>
          <w:p>
            <w:pPr>
              <w:pStyle w:val="TableContents"/>
              <w:bidi w:val="0"/>
              <w:jc w:val="left"/>
              <w:rPr>
                <w:color w:val="000000"/>
              </w:rPr>
            </w:pPr>
            <w:r>
              <w:rPr>
                <w:color w:val="000000"/>
              </w:rPr>
              <w:t>  </w:t>
            </w:r>
            <w:r>
              <w:rPr>
                <w:rFonts w:ascii="Arial" w:hAnsi="Arial"/>
                <w:color w:val="000000"/>
                <w:sz w:val="20"/>
              </w:rPr>
              <w:t>T: +1 212 479 6474</w:t>
            </w:r>
          </w:p>
          <w:p>
            <w:pPr>
              <w:pStyle w:val="TableContents"/>
              <w:bidi w:val="0"/>
              <w:ind w:left="108" w:right="108" w:hanging="0"/>
              <w:jc w:val="left"/>
              <w:rPr>
                <w:rFonts w:ascii="Arial" w:hAnsi="Arial"/>
                <w:color w:val="000000"/>
                <w:sz w:val="20"/>
              </w:rPr>
            </w:pPr>
            <w:r>
              <w:rPr>
                <w:rFonts w:ascii="Arial" w:hAnsi="Arial"/>
                <w:color w:val="000000"/>
                <w:sz w:val="20"/>
              </w:rPr>
              <w:t>dgupta@cooley.com</w:t>
            </w:r>
          </w:p>
          <w:p>
            <w:pPr>
              <w:pStyle w:val="TableContents"/>
              <w:bidi w:val="0"/>
              <w:spacing w:before="0" w:after="283"/>
              <w:ind w:left="0" w:right="0" w:firstLine="108"/>
              <w:jc w:val="left"/>
              <w:rPr/>
            </w:pPr>
            <w:r>
              <w:rPr/>
              <w:t> </w:t>
            </w:r>
          </w:p>
        </w:tc>
        <w:tc>
          <w:tcPr>
            <w:tcW w:w="1357" w:type="dxa"/>
            <w:tcBorders/>
            <w:tcMar>
              <w:top w:w="0" w:type="dxa"/>
              <w:left w:w="0" w:type="dxa"/>
              <w:bottom w:w="0" w:type="dxa"/>
              <w:right w:w="0" w:type="dxa"/>
            </w:tcMar>
            <w:vAlign w:val="center"/>
          </w:tcPr>
          <w:p>
            <w:pPr>
              <w:pStyle w:val="TableContents"/>
              <w:bidi w:val="0"/>
              <w:spacing w:before="0" w:after="283"/>
              <w:ind w:left="108" w:right="108" w:firstLine="108"/>
              <w:jc w:val="right"/>
              <w:rPr>
                <w:rFonts w:ascii="Arial" w:hAnsi="Arial"/>
                <w:b/>
                <w:color w:val="000000"/>
                <w:sz w:val="20"/>
              </w:rPr>
            </w:pPr>
            <w:r>
              <w:rPr>
                <w:rFonts w:ascii="Arial" w:hAnsi="Arial"/>
                <w:b/>
                <w:color w:val="000000"/>
                <w:sz w:val="20"/>
              </w:rPr>
              <w:t>Exhibit 5.1</w:t>
            </w:r>
          </w:p>
        </w:tc>
      </w:tr>
    </w:tbl>
    <w:p>
      <w:pPr>
        <w:pStyle w:val="TextBody"/>
        <w:bidi w:val="0"/>
        <w:ind w:left="108" w:right="108" w:hanging="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August 6,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CG Oncology, Inc.</w:t>
      </w:r>
    </w:p>
    <w:p>
      <w:pPr>
        <w:pStyle w:val="TextBody"/>
        <w:bidi w:val="0"/>
        <w:jc w:val="left"/>
        <w:rPr>
          <w:rFonts w:ascii="Arial" w:hAnsi="Arial"/>
          <w:color w:val="000000"/>
          <w:sz w:val="22"/>
        </w:rPr>
      </w:pPr>
      <w:r>
        <w:rPr>
          <w:rFonts w:ascii="Arial" w:hAnsi="Arial"/>
          <w:color w:val="000000"/>
          <w:sz w:val="22"/>
        </w:rPr>
        <w:t>3000 Pegasus Park Drive</w:t>
      </w:r>
    </w:p>
    <w:p>
      <w:pPr>
        <w:pStyle w:val="TextBody"/>
        <w:bidi w:val="0"/>
        <w:jc w:val="left"/>
        <w:rPr>
          <w:rFonts w:ascii="Arial" w:hAnsi="Arial"/>
          <w:color w:val="000000"/>
          <w:sz w:val="20"/>
        </w:rPr>
      </w:pPr>
      <w:r>
        <w:rPr>
          <w:rFonts w:ascii="Arial" w:hAnsi="Arial"/>
          <w:color w:val="000000"/>
          <w:sz w:val="20"/>
        </w:rPr>
        <w:t xml:space="preserve">Suite 1640 </w:t>
        <w:br/>
        <w:t>Dallas, TX 75247</w:t>
      </w:r>
    </w:p>
    <w:p>
      <w:pPr>
        <w:pStyle w:val="TextBody"/>
        <w:bidi w:val="0"/>
        <w:jc w:val="both"/>
        <w:rPr/>
      </w:pPr>
      <w:r>
        <w:rPr/>
        <w:t> </w:t>
      </w:r>
    </w:p>
    <w:p>
      <w:pPr>
        <w:pStyle w:val="TextBody"/>
        <w:bidi w:val="0"/>
        <w:spacing w:before="0" w:after="240"/>
        <w:jc w:val="left"/>
        <w:rPr>
          <w:rFonts w:ascii="Arial" w:hAnsi="Arial"/>
          <w:color w:val="000000"/>
          <w:sz w:val="20"/>
        </w:rPr>
      </w:pPr>
      <w:r>
        <w:rPr>
          <w:rFonts w:ascii="Arial" w:hAnsi="Arial"/>
          <w:color w:val="000000"/>
          <w:sz w:val="20"/>
        </w:rPr>
        <w:t>Ladies and Gentlemen:</w:t>
      </w:r>
    </w:p>
    <w:p>
      <w:pPr>
        <w:pStyle w:val="TextBody"/>
        <w:bidi w:val="0"/>
        <w:jc w:val="both"/>
        <w:rPr>
          <w:rFonts w:ascii="Times New Roman" w:hAnsi="Times New Roman"/>
          <w:sz w:val="20"/>
        </w:rPr>
      </w:pPr>
      <w:r>
        <w:rPr>
          <w:rFonts w:ascii="Arial" w:hAnsi="Arial"/>
          <w:color w:val="000000"/>
          <w:sz w:val="20"/>
        </w:rPr>
        <w:t>We have acted as counsel to CG Oncology,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offering by the Company of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its common stock, par value $0.0001 per share (the “</w:t>
      </w:r>
      <w:r>
        <w:rPr>
          <w:rFonts w:ascii="Arial" w:hAnsi="Arial"/>
          <w:b/>
          <w:i/>
          <w:color w:val="000000"/>
          <w:sz w:val="20"/>
        </w:rPr>
        <w:t>Common Stock</w:t>
      </w:r>
      <w:r>
        <w:rPr>
          <w:rFonts w:ascii="Times New Roman" w:hAnsi="Times New Roman"/>
          <w:color w:val="000000"/>
          <w:sz w:val="20"/>
        </w:rPr>
        <w:t>”</w:t>
      </w:r>
      <w:r>
        <w:rPr>
          <w:rFonts w:ascii="Arial" w:hAnsi="Arial"/>
          <w:color w:val="000000"/>
          <w:sz w:val="20"/>
        </w:rPr>
        <w:t>), having an aggregate offering price of up to $500,000,000 pursuant to the Registration Statement on Form S-3 (File No. 333-283260)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filed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under the Securities Act of 1933, as amended (the “</w:t>
      </w:r>
      <w:r>
        <w:rPr>
          <w:rFonts w:ascii="Arial" w:hAnsi="Arial"/>
          <w:b/>
          <w:i/>
          <w:color w:val="000000"/>
          <w:sz w:val="20"/>
        </w:rPr>
        <w:t>Securities Act</w:t>
      </w:r>
      <w:r>
        <w:rPr>
          <w:rFonts w:ascii="Times New Roman" w:hAnsi="Times New Roman"/>
          <w:color w:val="000000"/>
          <w:sz w:val="20"/>
        </w:rPr>
        <w:t>”</w:t>
      </w:r>
      <w:r>
        <w:rPr>
          <w:rFonts w:ascii="Arial" w:hAnsi="Arial"/>
          <w:color w:val="000000"/>
          <w:sz w:val="20"/>
        </w:rPr>
        <w:t>), the prospectus relating to the Shares included in the Registration Statement (the “</w:t>
      </w:r>
      <w:r>
        <w:rPr>
          <w:rFonts w:ascii="Arial" w:hAnsi="Arial"/>
          <w:b/>
          <w:i/>
          <w:color w:val="000000"/>
          <w:sz w:val="20"/>
        </w:rPr>
        <w:t>Base</w:t>
      </w:r>
      <w:r>
        <w:rPr>
          <w:rFonts w:ascii="Times New Roman" w:hAnsi="Times New Roman"/>
          <w:color w:val="000000"/>
          <w:sz w:val="20"/>
        </w:rPr>
        <w:t xml:space="preserve"> </w:t>
      </w:r>
      <w:r>
        <w:rPr>
          <w:rFonts w:ascii="Arial" w:hAnsi="Arial"/>
          <w:b/>
          <w:i/>
          <w:color w:val="000000"/>
          <w:sz w:val="20"/>
        </w:rPr>
        <w:t>Prospectus</w:t>
      </w:r>
      <w:r>
        <w:rPr>
          <w:rFonts w:ascii="Times New Roman" w:hAnsi="Times New Roman"/>
          <w:color w:val="000000"/>
          <w:sz w:val="20"/>
        </w:rPr>
        <w:t>”</w:t>
      </w:r>
      <w:r>
        <w:rPr>
          <w:rFonts w:ascii="Arial" w:hAnsi="Arial"/>
          <w:color w:val="000000"/>
          <w:sz w:val="20"/>
        </w:rPr>
        <w:t>), and the prospectus supplement relating to the Shares dated August 6, 2026, filed with the Commission pursuant to Rule 424(b) under the Securities Act (together with the Base Prospectus, the “</w:t>
      </w:r>
      <w:r>
        <w:rPr>
          <w:rFonts w:ascii="Arial" w:hAnsi="Arial"/>
          <w:b/>
          <w:i/>
          <w:color w:val="000000"/>
          <w:sz w:val="20"/>
        </w:rPr>
        <w:t>Prospectus</w:t>
      </w:r>
      <w:r>
        <w:rPr>
          <w:rFonts w:ascii="Times New Roman" w:hAnsi="Times New Roman"/>
          <w:color w:val="000000"/>
          <w:sz w:val="20"/>
        </w:rPr>
        <w:t>”</w:t>
      </w:r>
      <w:r>
        <w:rPr>
          <w:rFonts w:ascii="Arial" w:hAnsi="Arial"/>
          <w:color w:val="000000"/>
          <w:sz w:val="20"/>
        </w:rPr>
        <w:t>). The Shares are to be sold by the Company in accordance with the Open Market Sale Agreement, dated March 28, 2025 by and between the Company and Jefferies LLC (the “</w:t>
      </w:r>
      <w:r>
        <w:rPr>
          <w:rFonts w:ascii="Arial" w:hAnsi="Arial"/>
          <w:b/>
          <w:i/>
          <w:color w:val="000000"/>
          <w:sz w:val="20"/>
        </w:rPr>
        <w:t>Agreement</w:t>
      </w:r>
      <w:r>
        <w:rPr>
          <w:rFonts w:ascii="Times New Roman" w:hAnsi="Times New Roman"/>
          <w:color w:val="000000"/>
          <w:sz w:val="20"/>
        </w:rPr>
        <w:t>”</w:t>
      </w:r>
      <w:r>
        <w:rPr>
          <w:rFonts w:ascii="Arial" w:hAnsi="Arial"/>
          <w:color w:val="000000"/>
          <w:sz w:val="20"/>
        </w:rPr>
        <w:t>), as described in the Prospectus.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In connection with this opinion, we have examined and relied upon (a) the Registration Statement and the Prospectus, (b) the Agreement,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hAnsi="Arial"/>
          <w:b/>
          <w:i/>
          <w:color w:val="000000"/>
          <w:sz w:val="20"/>
        </w:rPr>
        <w:t>DGCL</w:t>
      </w:r>
      <w:r>
        <w:rPr>
          <w:rFonts w:ascii="Times New Roman" w:hAnsi="Times New Roman"/>
          <w:color w:val="000000"/>
          <w:sz w:val="20"/>
        </w:rPr>
        <w:t>”</w:t>
      </w:r>
      <w:r>
        <w:rPr>
          <w:rFonts w:ascii="Arial" w:hAnsi="Arial"/>
          <w:color w:val="000000"/>
          <w:sz w:val="20"/>
        </w:rPr>
        <w:t>), (ii) that no more than 50,000,000 Shares will be sold under the Agreement pursuant to the Prospectus and (iii) that the price at which the Shares are sold will equal or exceed the par value of the Common Stock.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 available for issuance by the Company.</w:t>
      </w:r>
    </w:p>
    <w:p>
      <w:pPr>
        <w:pStyle w:val="TextBody"/>
        <w:bidi w:val="0"/>
        <w:spacing w:before="0" w:after="240"/>
        <w:jc w:val="both"/>
        <w:rPr>
          <w:rFonts w:ascii="Arial" w:hAnsi="Arial"/>
          <w:color w:val="000000"/>
          <w:sz w:val="20"/>
        </w:rPr>
      </w:pPr>
      <w:r>
        <w:rPr>
          <w:rFonts w:ascii="Arial" w:hAnsi="Arial"/>
          <w:color w:val="000000"/>
          <w:sz w:val="20"/>
        </w:rPr>
        <w:t>Our opinion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240"/>
        <w:jc w:val="both"/>
        <w:rPr>
          <w:rFonts w:ascii="Times New Roman" w:hAnsi="Times New Roman"/>
          <w:sz w:val="20"/>
        </w:rPr>
      </w:pPr>
      <w:r>
        <w:rPr>
          <w:rFonts w:ascii="Arial" w:hAnsi="Arial"/>
          <w:color w:val="000000"/>
          <w:sz w:val="20"/>
        </w:rPr>
        <w:t>On the basis of the foregoing, in reliance thereon and subject to the assumptions, qualifications, limitations and exceptions set forth herein, we are of the opinion that the Shares, when sold and issued against</w:t>
      </w:r>
      <w:r>
        <w:rPr>
          <w:rFonts w:ascii="Times New Roman" w:hAnsi="Times New Roman"/>
          <w:color w:val="000000"/>
          <w:sz w:val="20"/>
        </w:rPr>
        <w:t xml:space="preserve"> </w:t>
      </w:r>
    </w:p>
    <w:p>
      <w:pPr>
        <w:pStyle w:val="TextBody"/>
        <w:bidi w:val="0"/>
        <w:jc w:val="center"/>
        <w:rPr>
          <w:rFonts w:ascii="Arial" w:hAnsi="Arial"/>
          <w:color w:val="000000"/>
          <w:sz w:val="14"/>
        </w:rPr>
      </w:pPr>
      <w:r>
        <w:rPr>
          <w:rFonts w:ascii="Arial" w:hAnsi="Arial"/>
          <w:color w:val="000000"/>
          <w:sz w:val="14"/>
        </w:rPr>
        <w:t>Cooley LLP 55 Hudson Yards New York, NY 10001-2157</w:t>
      </w:r>
    </w:p>
    <w:p>
      <w:pPr>
        <w:pStyle w:val="TextBody"/>
        <w:bidi w:val="0"/>
        <w:jc w:val="center"/>
        <w:rPr>
          <w:rFonts w:ascii="Arial" w:hAnsi="Arial"/>
          <w:color w:val="000000"/>
          <w:sz w:val="14"/>
        </w:rPr>
      </w:pPr>
      <w:r>
        <w:rPr>
          <w:rFonts w:ascii="Arial" w:hAnsi="Arial"/>
          <w:color w:val="000000"/>
          <w:sz w:val="14"/>
        </w:rPr>
        <w:t>t: (212) 479-6000 f: (212) 479-6275 cooley.com</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tbl>
      <w:tblPr>
        <w:tblW w:w="1862" w:type="dxa"/>
        <w:jc w:val="left"/>
        <w:tblInd w:w="0" w:type="dxa"/>
        <w:tblLayout w:type="fixed"/>
        <w:tblCellMar>
          <w:top w:w="28" w:type="dxa"/>
          <w:left w:w="28" w:type="dxa"/>
          <w:bottom w:w="28" w:type="dxa"/>
          <w:right w:w="28" w:type="dxa"/>
        </w:tblCellMar>
      </w:tblPr>
      <w:tblGrid>
        <w:gridCol w:w="1556"/>
        <w:gridCol w:w="306"/>
      </w:tblGrid>
      <w:tr>
        <w:trPr/>
        <w:tc>
          <w:tcPr>
            <w:tcW w:w="15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56" w:type="dxa"/>
            <w:tcBorders/>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55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556" w:type="dxa"/>
            <w:tcBorders/>
            <w:tcMar>
              <w:top w:w="0" w:type="dxa"/>
              <w:left w:w="0" w:type="dxa"/>
              <w:bottom w:w="0" w:type="dxa"/>
              <w:right w:w="0" w:type="dxa"/>
            </w:tcMar>
            <w:vAlign w:val="center"/>
          </w:tcPr>
          <w:p>
            <w:pPr>
              <w:pStyle w:val="TableContents"/>
              <w:bidi w:val="0"/>
              <w:ind w:left="115" w:right="0" w:firstLine="115"/>
              <w:jc w:val="left"/>
              <w:rPr>
                <w:rFonts w:ascii="Arial" w:hAnsi="Arial"/>
                <w:color w:val="000000"/>
                <w:sz w:val="20"/>
              </w:rPr>
            </w:pPr>
            <w:r>
              <w:rPr>
                <w:rFonts w:ascii="Arial" w:hAnsi="Arial"/>
                <w:color w:val="000000"/>
                <w:sz w:val="20"/>
              </w:rPr>
              <w:t>August 6, 2026</w:t>
            </w:r>
          </w:p>
          <w:p>
            <w:pPr>
              <w:pStyle w:val="TableContents"/>
              <w:bidi w:val="0"/>
              <w:spacing w:before="0" w:after="283"/>
              <w:ind w:left="115" w:right="0" w:firstLine="115"/>
              <w:jc w:val="left"/>
              <w:rPr>
                <w:rFonts w:ascii="Arial" w:hAnsi="Arial"/>
                <w:color w:val="000000"/>
                <w:sz w:val="20"/>
              </w:rPr>
            </w:pPr>
            <w:r>
              <w:rPr>
                <w:rFonts w:ascii="Arial" w:hAnsi="Arial"/>
                <w:color w:val="000000"/>
                <w:sz w:val="20"/>
              </w:rPr>
              <w:t>Page 2</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payment therefor in accordance with the Agreement, the Registration Statement and the Prospectus, will be validly issued, fully paid and nonassessable.</w:t>
      </w:r>
    </w:p>
    <w:p>
      <w:pPr>
        <w:pStyle w:val="TextBody"/>
        <w:bidi w:val="0"/>
        <w:spacing w:before="0" w:after="240"/>
        <w:jc w:val="both"/>
        <w:rPr>
          <w:rFonts w:ascii="Arial" w:hAnsi="Arial"/>
          <w:color w:val="000000"/>
          <w:sz w:val="20"/>
        </w:rPr>
      </w:pPr>
      <w:r>
        <w:rPr>
          <w:rFonts w:ascii="Arial" w:hAnsi="Arial"/>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jc w:val="both"/>
        <w:rPr>
          <w:rFonts w:ascii="Arial" w:hAnsi="Arial"/>
          <w:color w:val="000000"/>
          <w:sz w:val="20"/>
        </w:rPr>
      </w:pPr>
      <w:r>
        <w:rPr>
          <w:rFonts w:ascii="Arial" w:hAnsi="Arial"/>
          <w:color w:val="000000"/>
          <w:sz w:val="20"/>
        </w:rPr>
        <w:t>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Very truly yours,</w:t>
      </w:r>
    </w:p>
    <w:p>
      <w:pPr>
        <w:pStyle w:val="TextBody"/>
        <w:bidi w:val="0"/>
        <w:jc w:val="left"/>
        <w:rPr>
          <w:rFonts w:ascii="Arial" w:hAnsi="Arial"/>
          <w:color w:val="000000"/>
          <w:sz w:val="20"/>
        </w:rPr>
      </w:pPr>
      <w:r>
        <w:rPr>
          <w:rFonts w:ascii="Arial" w:hAnsi="Arial"/>
          <w:color w:val="000000"/>
          <w:sz w:val="20"/>
        </w:rPr>
        <w:t>Cooley LLP</w:t>
      </w:r>
    </w:p>
    <w:p>
      <w:pPr>
        <w:pStyle w:val="TextBody"/>
        <w:bidi w:val="0"/>
        <w:spacing w:before="0" w:after="360"/>
        <w:jc w:val="both"/>
        <w:rPr/>
      </w:pPr>
      <w:r>
        <w:rPr/>
        <w:t> </w:t>
      </w:r>
    </w:p>
    <w:p>
      <w:pPr>
        <w:pStyle w:val="TextBody"/>
        <w:bidi w:val="0"/>
        <w:jc w:val="both"/>
        <w:rPr>
          <w:rFonts w:ascii="Times New Roman" w:hAnsi="Times New Roman"/>
          <w:sz w:val="20"/>
        </w:rPr>
      </w:pPr>
      <w:r>
        <w:rPr>
          <w:rFonts w:ascii="Arial" w:hAnsi="Arial"/>
          <w:color w:val="000000"/>
          <w:sz w:val="20"/>
        </w:rPr>
        <w:t xml:space="preserve">By: </w:t>
      </w:r>
      <w:r>
        <w:rPr>
          <w:rFonts w:ascii="Arial" w:hAnsi="Arial"/>
          <w:color w:val="000000"/>
          <w:sz w:val="20"/>
          <w:u w:val="single"/>
        </w:rPr>
        <w:t>/s/ Divakar Gupta</w:t>
      </w:r>
      <w:r>
        <w:rPr>
          <w:rFonts w:ascii="Times New Roman" w:hAnsi="Times New Roman"/>
          <w:color w:val="000000"/>
          <w:sz w:val="20"/>
          <w:u w:val="single"/>
        </w:rPr>
        <w:t xml:space="preserve"> </w:t>
      </w:r>
    </w:p>
    <w:p>
      <w:pPr>
        <w:pStyle w:val="TextBody"/>
        <w:bidi w:val="0"/>
        <w:spacing w:before="0" w:after="240"/>
        <w:ind w:left="0" w:right="0" w:firstLine="720"/>
        <w:jc w:val="both"/>
        <w:rPr>
          <w:rFonts w:ascii="Arial" w:hAnsi="Arial"/>
          <w:color w:val="000000"/>
          <w:sz w:val="20"/>
        </w:rPr>
      </w:pPr>
      <w:r>
        <w:rPr>
          <w:rFonts w:ascii="Arial" w:hAnsi="Arial"/>
          <w:color w:val="000000"/>
          <w:sz w:val="20"/>
        </w:rPr>
        <w:t>Divakar Gupta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4"/>
        </w:rPr>
      </w:pPr>
      <w:r>
        <w:rPr>
          <w:rFonts w:ascii="Arial" w:hAnsi="Arial"/>
          <w:color w:val="000000"/>
          <w:sz w:val="14"/>
        </w:rPr>
        <w:t>Cooley LLP 55 Hudson Yards New York, NY 10001-2157</w:t>
      </w:r>
    </w:p>
    <w:p>
      <w:pPr>
        <w:pStyle w:val="TextBody"/>
        <w:bidi w:val="0"/>
        <w:jc w:val="center"/>
        <w:rPr>
          <w:rFonts w:ascii="Arial" w:hAnsi="Arial"/>
          <w:color w:val="000000"/>
          <w:sz w:val="14"/>
        </w:rPr>
      </w:pPr>
      <w:r>
        <w:rPr>
          <w:rFonts w:ascii="Arial" w:hAnsi="Arial"/>
          <w:color w:val="000000"/>
          <w:sz w:val="14"/>
        </w:rPr>
        <w:t>t: (212) 479-6000 f: (212) 479-6275 cooley.com</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ck0001991792-ex99_1.htm"/>
      <w:bookmarkStart w:id="7" w:name="ksck0001991792ex99_1"/>
      <w:bookmarkEnd w:id="6"/>
      <w:bookmarkEnd w:id="7"/>
      <w:r>
        <w:rPr>
          <w:rFonts w:ascii="Times New Roman" w:hAnsi="Times New Roman"/>
          <w:b/>
          <w:color w:val="000000"/>
          <w:sz w:val="20"/>
        </w:rPr>
        <w:t>Exhibit 99.1</w:t>
      </w:r>
      <w:r>
        <w:br w:type="page"/>
      </w:r>
    </w:p>
    <w:p>
      <w:pPr>
        <w:pStyle w:val="TextBody"/>
        <w:bidi w:val="0"/>
        <w:spacing w:before="0" w:after="240"/>
        <w:jc w:val="center"/>
        <w:rPr/>
      </w:pPr>
      <w:r>
        <w:rPr/>
        <w:drawing>
          <wp:inline distT="0" distB="0" distL="0" distR="0">
            <wp:extent cx="3943350"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43350" cy="666750"/>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CG Oncology Reports Second Quarter 2026 Financial Results and Provides Business Updates</w:t>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PIVOT-006 Phase 3 topline data evaluating cretostimogene monotherapy as an adjuvant therapy in intermediate-risk NMIBC anticipated in the near-term</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 xml:space="preserve">BLA completion for HR BCG-unresponsive NMIBC expected fourth quarter 2026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 xml:space="preserve">Phase 3 BOND-003 Cohort C Study Results published in The Lancet Oncology, further validating the strength of the clinical evidence supporting cretostimogene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Well-positioned to deliver on key milestones with approximately $1.0 billion cash, cash equivalents and marketable securities sufficient to fund operations through 2029</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DALLAS, Texas, August 6, 2026 (GLOBE NEWSWIRE)</w:t>
      </w:r>
      <w:r>
        <w:rPr>
          <w:rFonts w:ascii="Times New Roman" w:hAnsi="Times New Roman"/>
          <w:color w:val="000000"/>
          <w:sz w:val="20"/>
        </w:rPr>
        <w:t xml:space="preserve"> </w:t>
      </w:r>
      <w:r>
        <w:rPr>
          <w:rFonts w:ascii="Times New Roman" w:hAnsi="Times New Roman"/>
          <w:color w:val="000000"/>
          <w:sz w:val="22"/>
        </w:rPr>
        <w:t>-- CG Oncology, Inc. (NASDAQ: CGON) today reported financial results for the second quarter ended June 30, 2026, and provided business updates.</w:t>
      </w:r>
    </w:p>
    <w:p>
      <w:pPr>
        <w:pStyle w:val="TextBody"/>
        <w:bidi w:val="0"/>
        <w:jc w:val="both"/>
        <w:rPr/>
      </w:pPr>
      <w:r>
        <w:rPr/>
        <w:t> </w:t>
      </w:r>
    </w:p>
    <w:p>
      <w:pPr>
        <w:pStyle w:val="TextBody"/>
        <w:bidi w:val="0"/>
        <w:spacing w:before="0" w:after="120"/>
        <w:jc w:val="both"/>
        <w:rPr/>
      </w:pPr>
      <w:r>
        <w:rPr>
          <w:color w:val="000000"/>
        </w:rPr>
        <w:t>“</w:t>
      </w:r>
      <w:r>
        <w:rPr>
          <w:rFonts w:ascii="Times New Roman" w:hAnsi="Times New Roman"/>
          <w:color w:val="000000"/>
          <w:sz w:val="22"/>
        </w:rPr>
        <w:t>This quarter we have made significant progress across our clinical, regulatory, manufacturing and commercial-readiness initiatives, positioning the Company for long-term success. PIVOT-006 has accrued the vast majority of the target events, and we look forward to sharing topline results soon. We are confident in the potential of cretostimogene and are committed to delivering what we believe will be a backbone therapy for patients,” stated Arthur Kuan, Chairman &amp; Chief Executive Officer at CG Oncology.</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Corporate Highlights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2"/>
        </w:rPr>
        <w:t>In July, BOND-003 Cohort C Study Results were published in</w:t>
      </w:r>
      <w:r>
        <w:rPr>
          <w:color w:val="000000"/>
        </w:rPr>
        <w:t xml:space="preserve"> </w:t>
      </w:r>
      <w:r>
        <w:rPr>
          <w:rFonts w:ascii="Times New Roman" w:hAnsi="Times New Roman"/>
          <w:i/>
          <w:color w:val="000000"/>
          <w:sz w:val="22"/>
        </w:rPr>
        <w:t xml:space="preserve">The Lancet Oncology </w:t>
      </w:r>
      <w:r>
        <w:rPr>
          <w:rFonts w:ascii="Times New Roman" w:hAnsi="Times New Roman"/>
          <w:color w:val="000000"/>
          <w:sz w:val="22"/>
        </w:rPr>
        <w:t>validating the strength of the clinical evidence supporting cretostimogene</w:t>
      </w:r>
    </w:p>
    <w:p>
      <w:pPr>
        <w:pStyle w:val="TextBody"/>
        <w:bidi w:val="0"/>
        <w:spacing w:before="120" w:after="283"/>
        <w:ind w:left="1080" w:right="0" w:hanging="0"/>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pPr>
      <w:r>
        <w:rPr>
          <w:rFonts w:ascii="Times New Roman" w:hAnsi="Times New Roman"/>
          <w:b/>
          <w:color w:val="000000"/>
          <w:sz w:val="22"/>
        </w:rPr>
        <w:t xml:space="preserve">Title: </w:t>
      </w:r>
      <w:r>
        <w:rPr>
          <w:rFonts w:ascii="Times New Roman" w:hAnsi="Times New Roman"/>
          <w:i/>
          <w:color w:val="000000"/>
          <w:sz w:val="24"/>
        </w:rPr>
        <w:t>Intravesical cretostimogene grenadenorepvec oncolytic immunotherapy in high-risk, BCG-unresponsive, non-muscle invasive bladder cancer with carcinoma in situ (BOND-003 Cohort C): a single-arm, phase 3 trial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July, the Superior Court of the State of Delaware denied ANI’s post-trial motion for a new trial and judgment as a matter of law, upholding the jury’s verdict in favor of CG Oncology that the invalidated royalty provision was properly severed and that the remainder of the agreement with ANI remains in force, while rejecting ANI’s challenges to the verdict and related claims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May, CORE-008 Cohort CX data were presented at the Society of Urologic Oncology (SUO) session at the American Urological Association (AUA) 2026 Annual Meeting</w:t>
      </w:r>
    </w:p>
    <w:p>
      <w:pPr>
        <w:pStyle w:val="TextBody"/>
        <w:bidi w:val="0"/>
        <w:ind w:left="360" w:right="0" w:hanging="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Anticipated 2026 Milestones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PIVOT-006 (intermediate-risk NMIBC): Phase 3 topline data</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Completion of BLA submission in initial indication of HR BCG-unresponsive NMIBC with CIS with or without Ta/T1 disease in 4Q’26</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BOND-003 Cohort C (HR BCG-unresponsive NMIBC with CIS with or without Ta/T1 disease), BOND-003 Cohort P (HR BCG-unresponsive NMIBC in Ta/T1 disease without CIS), CORE-008 Cohort CX (HR BCG-exposed and BCG-unresponsive NMIBC) and CORE-008 Cohort A (HR BCG-naïve NMIBC with CIS +/- Ta/T1), durability data</w:t>
      </w:r>
    </w:p>
    <w:p>
      <w:pPr>
        <w:pStyle w:val="TextBody"/>
        <w:bidi w:val="0"/>
        <w:ind w:left="720" w:right="0" w:hanging="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Second Quarter Financial Highlights</w:t>
      </w:r>
    </w:p>
    <w:p>
      <w:pPr>
        <w:pStyle w:val="TextBody"/>
        <w:bidi w:val="0"/>
        <w:spacing w:before="0" w:after="0"/>
        <w:ind w:left="360" w:right="0" w:hanging="0"/>
        <w:jc w:val="both"/>
        <w:rPr>
          <w:color w:val="000000"/>
        </w:rPr>
      </w:pPr>
      <w:r>
        <w:rPr>
          <w:color w:val="000000"/>
        </w:rPr>
        <w:t>•</w:t>
      </w:r>
    </w:p>
    <w:p>
      <w:pPr>
        <w:pStyle w:val="TextBody"/>
        <w:bidi w:val="0"/>
        <w:jc w:val="both"/>
        <w:rPr/>
      </w:pPr>
      <w:r>
        <w:rPr>
          <w:rFonts w:ascii="Times New Roman" w:hAnsi="Times New Roman"/>
          <w:b/>
          <w:color w:val="000000"/>
          <w:sz w:val="22"/>
        </w:rPr>
        <w:t>Cash Position</w:t>
      </w:r>
      <w:r>
        <w:rPr>
          <w:rFonts w:ascii="Times New Roman" w:hAnsi="Times New Roman"/>
          <w:color w:val="000000"/>
          <w:sz w:val="22"/>
        </w:rPr>
        <w:t>: Cash, cash equivalents and marketable securities as of June 30, 2026 were $1.0 billion, compared with $1.1 billion as of March 31, 2026.  The Company anticipates its existing cash, cash equivalents and marketable securities as of this date will be sufficient to fund operations through 2029.</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pPr>
      <w:r>
        <w:rPr>
          <w:rFonts w:ascii="Times New Roman" w:hAnsi="Times New Roman"/>
          <w:b/>
          <w:color w:val="000000"/>
          <w:sz w:val="22"/>
        </w:rPr>
        <w:t>Research and Development (R&amp;D) Expenses</w:t>
      </w:r>
      <w:r>
        <w:rPr>
          <w:rFonts w:ascii="Times New Roman" w:hAnsi="Times New Roman"/>
          <w:color w:val="000000"/>
          <w:sz w:val="22"/>
        </w:rPr>
        <w:t>: R&amp;D expenses were $54.7 million for the second quarter of 2026, as compared to $31.3 million for the prior year period. The increase was primarily due to an increase in clinical trial expenses, including CMC costs, and an increase in compensation costs due to increased headcount.</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pPr>
      <w:r>
        <w:rPr>
          <w:rFonts w:ascii="Times New Roman" w:hAnsi="Times New Roman"/>
          <w:b/>
          <w:color w:val="000000"/>
          <w:sz w:val="22"/>
        </w:rPr>
        <w:t>General and Administrative (G&amp;A) Expenses</w:t>
      </w:r>
      <w:r>
        <w:rPr>
          <w:rFonts w:ascii="Times New Roman" w:hAnsi="Times New Roman"/>
          <w:color w:val="000000"/>
          <w:sz w:val="22"/>
        </w:rPr>
        <w:t>: G&amp;A expenses were $29.0 million for the second quarter of 2026, as compared to $17.4 million for the prior year period. The increase was primarily attributed to an increase in personnel-related expenses, including compensation costs from increased headcount.</w:t>
      </w:r>
    </w:p>
    <w:p>
      <w:pPr>
        <w:pStyle w:val="TextBody"/>
        <w:bidi w:val="0"/>
        <w:spacing w:before="0" w:after="0"/>
        <w:ind w:left="360" w:right="0" w:hanging="0"/>
        <w:jc w:val="both"/>
        <w:rPr>
          <w:color w:val="000000"/>
        </w:rPr>
      </w:pPr>
      <w:r>
        <w:rPr>
          <w:color w:val="000000"/>
        </w:rPr>
        <w:t>•</w:t>
      </w:r>
    </w:p>
    <w:p>
      <w:pPr>
        <w:pStyle w:val="TextBody"/>
        <w:bidi w:val="0"/>
        <w:jc w:val="both"/>
        <w:rPr/>
      </w:pPr>
      <w:r>
        <w:rPr>
          <w:rFonts w:ascii="Times New Roman" w:hAnsi="Times New Roman"/>
          <w:b/>
          <w:color w:val="000000"/>
          <w:sz w:val="22"/>
        </w:rPr>
        <w:t>Net Loss</w:t>
      </w:r>
      <w:r>
        <w:rPr>
          <w:rFonts w:ascii="Times New Roman" w:hAnsi="Times New Roman"/>
          <w:color w:val="000000"/>
          <w:sz w:val="22"/>
        </w:rPr>
        <w:t>: Net loss was $79.1 million, or $(0.90) per share, for the second quarter of 2026, as compared to a net loss of $41.4 million, or $(0.54) per share, for the prior year period.</w:t>
      </w:r>
    </w:p>
    <w:p>
      <w:pPr>
        <w:pStyle w:val="TextBody"/>
        <w:bidi w:val="0"/>
        <w:ind w:left="720" w:right="0" w:hanging="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Cretostimogene Grenadenorepvec</w:t>
      </w:r>
    </w:p>
    <w:p>
      <w:pPr>
        <w:pStyle w:val="TextBody"/>
        <w:bidi w:val="0"/>
        <w:jc w:val="both"/>
        <w:rPr>
          <w:rFonts w:ascii="Times New Roman" w:hAnsi="Times New Roman"/>
          <w:color w:val="000000"/>
          <w:sz w:val="22"/>
        </w:rPr>
      </w:pPr>
      <w:r>
        <w:rPr>
          <w:rFonts w:ascii="Times New Roman" w:hAnsi="Times New Roman"/>
          <w:color w:val="000000"/>
          <w:sz w:val="22"/>
        </w:rPr>
        <w:t>Cretostimogene is an investigational, intravesically delivered oncolytic immunotherapy that has been studied in a clinical development program, which includes more than 600 patients with Non-Muscle Invasive Bladder Cancer (NMIBC). This program includes two Phase 3 clinical trials: BOND-003 for high-risk BCG-unresponsive NMIBC and PIVOT-006 for intermediate-risk NMIBC. CG Oncology also has a multi-cohort Phase 2 trial, CORE-008, evaluating the safety and efficacy of cretostimogene in high-risk NMIBC. Additionally, we have initiated an Expanded Access Program for cretostimogene in North America for patients who are unresponsive to BCG and meet certain program eligibility requirements. Cretostimogene is an investigational candidate, and its safety and efficacy have not been established by the FDA or any other health authority.</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CG Oncology</w:t>
      </w:r>
    </w:p>
    <w:p>
      <w:pPr>
        <w:pStyle w:val="TextBody"/>
        <w:bidi w:val="0"/>
        <w:jc w:val="both"/>
        <w:rPr>
          <w:rFonts w:ascii="Times New Roman" w:hAnsi="Times New Roman"/>
          <w:color w:val="000000"/>
          <w:sz w:val="22"/>
        </w:rPr>
      </w:pPr>
      <w:r>
        <w:rPr>
          <w:rFonts w:ascii="Times New Roman" w:hAnsi="Times New Roman"/>
          <w:color w:val="000000"/>
          <w:sz w:val="22"/>
        </w:rPr>
        <w:t>CG Oncology is a late-stage clinical biopharmaceutical company focused on developing and commercializing a potential backbone bladder-sparing therapeutic for patients afflicted with bladder cancer. CG Oncology sees a world where urologic cancer patients may benefit from our innovative immunotherapies to live with dignity and have an enhanced quality of life. To learn more, please visit: www.cgoncology.com.</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CG Oncology cautions you that statements contained in this press release regarding matters that are not historical facts are forward-looking statements. The forward-looking statements are based on our current beliefs and expectations and include, but are not limited to, statements regarding our anticipated cash runway, future results of operations and financial position; the anticipated timing and conduct of our ongoing and planned clinical trials and preclinical studies for cretostimogene, including anticipated next milestones in our development pipeline; the timing and likelihood of regulatory filings and approvals for cretostimogene; the potential therapeutic benefits of cretostimogene for high-risk and intermediate-risk NMIBC patients; and that cretostimogene has a best-in-disease product profile. Actual results may differ from those set forth in this press release due to the risks and uncertainties inherent in our business, including, without limitation: interim results of a clinical trial are not necessarily indicative of final results and one or more of the clinical outcomes may materially change as patient enrollment continues, following more comprehensive reviews of the data, and as more patient data becomes available; potential delays in the commencement, enrollment and completion of clinical trials, including the BOND-003 and PIVOT-006 trials; we may use our capital resources sooner than expected and they may be insufficient to allow us to achieve our anticipated milestones; our dependence on third parties in connection with manufacturing, shipping and clinical and preclinical testing; results from earlier clinical trials and preclinical studies not necessarily being predictive of future results; unexpected adverse side effects or inadequate efficacy of cretostimogene that may limit its development, regulatory approval, and/or commercialization; and other risks described in our filings with the Securities and Exchange Commission (SEC), including under the heading “Risk Factors” in our annual report on Form 10-K and other filings that we make with the SEC from time to time (which are available at http://www.sec.gov).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p>
      <w:pPr>
        <w:pStyle w:val="TextBody"/>
        <w:bidi w:val="0"/>
        <w:jc w:val="left"/>
        <w:rPr>
          <w:rFonts w:ascii="Times New Roman" w:hAnsi="Times New Roman"/>
          <w:sz w:val="20"/>
        </w:rPr>
      </w:pPr>
      <w:r>
        <w:rPr>
          <w:rFonts w:ascii="Times New Roman" w:hAnsi="Times New Roman"/>
          <w:color w:val="000000"/>
          <w:sz w:val="22"/>
        </w:rPr>
        <w:t>Media</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Sarah Connors</w:t>
      </w:r>
    </w:p>
    <w:p>
      <w:pPr>
        <w:pStyle w:val="TextBody"/>
        <w:bidi w:val="0"/>
        <w:jc w:val="left"/>
        <w:rPr>
          <w:rFonts w:ascii="Times New Roman" w:hAnsi="Times New Roman"/>
          <w:color w:val="000000"/>
          <w:sz w:val="22"/>
        </w:rPr>
      </w:pPr>
      <w:r>
        <w:rPr>
          <w:rFonts w:ascii="Times New Roman" w:hAnsi="Times New Roman"/>
          <w:color w:val="000000"/>
          <w:sz w:val="22"/>
        </w:rPr>
        <w:t>Vice President, Communications and Patient Advocacy, CG Oncology</w:t>
      </w:r>
    </w:p>
    <w:p>
      <w:pPr>
        <w:pStyle w:val="TextBody"/>
        <w:bidi w:val="0"/>
        <w:jc w:val="left"/>
        <w:rPr>
          <w:rFonts w:ascii="Times New Roman" w:hAnsi="Times New Roman"/>
          <w:color w:val="000000"/>
          <w:sz w:val="22"/>
        </w:rPr>
      </w:pPr>
      <w:r>
        <w:rPr>
          <w:rFonts w:ascii="Times New Roman" w:hAnsi="Times New Roman"/>
          <w:color w:val="000000"/>
          <w:sz w:val="22"/>
        </w:rPr>
        <w:t>sarah.connors@cgoncology.com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Investor Relations</w:t>
      </w:r>
    </w:p>
    <w:p>
      <w:pPr>
        <w:pStyle w:val="TextBody"/>
        <w:bidi w:val="0"/>
        <w:jc w:val="left"/>
        <w:rPr>
          <w:rFonts w:ascii="Times New Roman" w:hAnsi="Times New Roman"/>
          <w:color w:val="000000"/>
          <w:sz w:val="22"/>
        </w:rPr>
      </w:pPr>
      <w:r>
        <w:rPr>
          <w:rFonts w:ascii="Times New Roman" w:hAnsi="Times New Roman"/>
          <w:color w:val="000000"/>
          <w:sz w:val="22"/>
        </w:rPr>
        <w:t>Megan Knight</w:t>
      </w:r>
    </w:p>
    <w:p>
      <w:pPr>
        <w:pStyle w:val="TextBody"/>
        <w:bidi w:val="0"/>
        <w:jc w:val="left"/>
        <w:rPr>
          <w:rFonts w:ascii="Times New Roman" w:hAnsi="Times New Roman"/>
          <w:color w:val="000000"/>
          <w:sz w:val="22"/>
        </w:rPr>
      </w:pPr>
      <w:r>
        <w:rPr>
          <w:rFonts w:ascii="Times New Roman" w:hAnsi="Times New Roman"/>
          <w:color w:val="000000"/>
          <w:sz w:val="22"/>
        </w:rPr>
        <w:t>Vice President, Investor Relations, CG Oncology</w:t>
      </w:r>
    </w:p>
    <w:p>
      <w:pPr>
        <w:pStyle w:val="TextBody"/>
        <w:bidi w:val="0"/>
        <w:jc w:val="left"/>
        <w:rPr>
          <w:rFonts w:ascii="Times New Roman" w:hAnsi="Times New Roman"/>
          <w:sz w:val="20"/>
        </w:rPr>
      </w:pPr>
      <w:r>
        <w:rPr>
          <w:rFonts w:ascii="Times New Roman" w:hAnsi="Times New Roman"/>
          <w:color w:val="000000"/>
          <w:sz w:val="22"/>
        </w:rPr>
        <w:t>megan.knight@cgoncology.com</w:t>
        <w:br/>
      </w:r>
      <w:r>
        <w:rPr>
          <w:rFonts w:ascii="Times New Roman" w:hAnsi="Times New Roman"/>
          <w:color w:val="000000"/>
          <w:sz w:val="20"/>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4"/>
        <w:gridCol w:w="546"/>
        <w:gridCol w:w="196"/>
        <w:gridCol w:w="916"/>
        <w:gridCol w:w="166"/>
        <w:gridCol w:w="146"/>
        <w:gridCol w:w="196"/>
        <w:gridCol w:w="916"/>
        <w:gridCol w:w="546"/>
        <w:gridCol w:w="546"/>
        <w:gridCol w:w="196"/>
        <w:gridCol w:w="916"/>
        <w:gridCol w:w="166"/>
        <w:gridCol w:w="146"/>
        <w:gridCol w:w="196"/>
        <w:gridCol w:w="916"/>
        <w:gridCol w:w="591"/>
      </w:tblGrid>
      <w:tr>
        <w:trPr/>
        <w:tc>
          <w:tcPr>
            <w:tcW w:w="290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development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and collaboration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sales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31,331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48,741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(48,741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(90,945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(41,426</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outstanding,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88,200,023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76,226,829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86,369,437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76,207,333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Consolidated Balance Sheet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6523" w:type="dxa"/>
        <w:jc w:val="left"/>
        <w:tblInd w:w="0" w:type="dxa"/>
        <w:tblLayout w:type="fixed"/>
        <w:tblCellMar>
          <w:top w:w="28" w:type="dxa"/>
          <w:left w:w="28" w:type="dxa"/>
          <w:bottom w:w="28" w:type="dxa"/>
          <w:right w:w="28" w:type="dxa"/>
        </w:tblCellMar>
      </w:tblPr>
      <w:tblGrid>
        <w:gridCol w:w="3586"/>
        <w:gridCol w:w="146"/>
        <w:gridCol w:w="146"/>
        <w:gridCol w:w="196"/>
        <w:gridCol w:w="826"/>
        <w:gridCol w:w="146"/>
        <w:gridCol w:w="146"/>
        <w:gridCol w:w="252"/>
        <w:gridCol w:w="888"/>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791,592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3005</Words>
  <Characters>16492</Characters>
  <CharactersWithSpaces>19587</CharactersWithSpaces>
  <Paragraphs>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