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Kalofonos Isabel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CG ONCOLOGY,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PEGASUS PARK DRIVE, SUITE 1640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CG Oncology, Inc.</w:t>
              </w:r>
            </w:hyperlink>
            <w:r>
              <w:rPr/>
              <w:t xml:space="preserve"> [ </w:t>
            </w:r>
            <w:r>
              <w:rPr>
                <w:rFonts w:ascii="Times;serif" w:hAnsi="Times;serif"/>
                <w:color w:val="0000FF"/>
                <w:sz w:val="24"/>
                <w:shd w:fill="FFFFFF" w:val="clear"/>
              </w:rPr>
              <w:t>CGON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F.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0"/>
        </w:rPr>
      </w:pPr>
      <w:bookmarkStart w:id="2" w:name="ck0001991792-ex24_1.htm"/>
      <w:bookmarkStart w:id="3" w:name="ksck0001991792ex24_1"/>
      <w:bookmarkEnd w:id="2"/>
      <w:bookmarkEnd w:id="3"/>
      <w:r>
        <w:rPr>
          <w:rFonts w:ascii="Times New Roman" w:hAnsi="Times New Roman"/>
          <w:b/>
          <w:color w:val="000000"/>
          <w:sz w:val="20"/>
        </w:rPr>
        <w:t>EX-24.1</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center"/>
        <w:rPr>
          <w:rFonts w:ascii="Times New Roman" w:hAnsi="Times New Roman"/>
          <w:color w:val="000000"/>
          <w:sz w:val="20"/>
        </w:rPr>
      </w:pPr>
      <w:r>
        <w:rPr>
          <w:rFonts w:ascii="Times New Roman" w:hAnsi="Times New Roman"/>
          <w:color w:val="000000"/>
          <w:sz w:val="20"/>
        </w:rPr>
        <w:t>(For Executing Form ID and Forms 3, 4 and 5)</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Albert Gelin, Charlotte Yin and Dylan Kornbluth of Cooley LLP, and Joshua F. Patterson of CG Oncology, Inc. (the “Company”), signing individually, the undersigned’s true and lawful attorneys-in-fact and agents to:</w:t>
      </w:r>
    </w:p>
    <w:p>
      <w:pPr>
        <w:pStyle w:val="TextBody"/>
        <w:bidi w:val="0"/>
        <w:spacing w:before="0" w:after="240"/>
        <w:jc w:val="both"/>
        <w:rPr>
          <w:rFonts w:ascii="Times New Roman" w:hAnsi="Times New Roman"/>
          <w:sz w:val="20"/>
        </w:rPr>
      </w:pPr>
      <w:r>
        <w:rPr>
          <w:rFonts w:ascii="Times New Roman" w:hAnsi="Times New Roman"/>
          <w:color w:val="000000"/>
          <w:sz w:val="20"/>
        </w:rPr>
        <w:t>(1) Prepare, execute in the undersigned’s name and on the undersigned’s behalf, and submit to the Securities and Exchange Commission (the “</w:t>
      </w:r>
      <w:r>
        <w:rPr>
          <w:rFonts w:ascii="Times New Roman" w:hAnsi="Times New Roman"/>
          <w:b/>
          <w:i/>
          <w:color w:val="000000"/>
          <w:sz w:val="20"/>
        </w:rPr>
        <w:t>SEC</w:t>
      </w:r>
      <w:r>
        <w:rPr>
          <w:rFonts w:ascii="Times New Roman" w:hAnsi="Times New Roman"/>
          <w:color w:val="000000"/>
          <w:sz w:val="20"/>
        </w:rPr>
        <w:t>”) a Form ID, 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any rule or regulation thereunder;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Prepare, execute in the undersigned’s name and on the undersigned’s behalf, and submit to the SEC Form ID and Forms 3, 4 and 5 (including amendments thereto and joint filing agreements in connection therewith) in accordance with Section 16(a) of the Exchange Act and the rules thereunder in the undersigned’s capacity as an officer, director or beneficial owner of more than 10% of a registered class of securities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 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Power of Attorney shall remain in full force and effect until the earliest to occur of (a) the undersigned is no longer required to file Form ID or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written below.</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Date: October 6, 2026</w:t>
      </w:r>
    </w:p>
    <w:p>
      <w:pPr>
        <w:pStyle w:val="TextBody"/>
        <w:bidi w:val="0"/>
        <w:jc w:val="both"/>
        <w:rPr>
          <w:rFonts w:ascii="Times New Roman" w:hAnsi="Times New Roman"/>
          <w:color w:val="000000"/>
          <w:sz w:val="20"/>
        </w:rPr>
      </w:pPr>
      <w:r>
        <w:rPr>
          <w:rFonts w:ascii="Times New Roman" w:hAnsi="Times New Roman"/>
          <w:color w:val="000000"/>
          <w:sz w:val="20"/>
        </w:rPr>
        <w:t>By: /s/ Isabel Kalofonos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Name: Isabel Kalofonos</w:t>
      </w:r>
    </w:p>
    <w:p>
      <w:pPr>
        <w:pStyle w:val="TextBody"/>
        <w:bidi w:val="0"/>
        <w:spacing w:before="0" w:after="16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75163" TargetMode="External"/><Relationship Id="rId3" Type="http://schemas.openxmlformats.org/officeDocument/2006/relationships/hyperlink" Target="http://www.sec.gov/cgi-bin/browse-edgar?action=getcompany&amp;CIK=00019917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1025</Words>
  <Characters>5458</Characters>
  <CharactersWithSpaces>6426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